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A1A3A" w:rsidRPr="004A1A3A" w:rsidRDefault="004A1A3A" w:rsidP="004A1A3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ANEXO b</w:t>
      </w:r>
    </w:p>
    <w:p w:rsidR="004A1A3A" w:rsidRPr="004A1A3A" w:rsidRDefault="004A1A3A" w:rsidP="004A1A3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informações acadêmicas do curso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7"/>
          <w:szCs w:val="27"/>
        </w:rPr>
        <w:t>1. ESPECIALIZAÇÃO EM ENSINO DE CIÊNCIAS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7"/>
          <w:szCs w:val="27"/>
        </w:rPr>
        <w:t>Público Alvo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7"/>
          <w:szCs w:val="27"/>
        </w:rPr>
        <w:t>Professores graduados que estão atuando em diferentes sistemas de ensino, com foco nos que lecionam na área das Ciências da Natureza na Educação Básica. Assim, neste projeto pedagógico, o C10 adapta-se às necessidades dos respectivos sistemas de ensino e instituições formadoras, as quais poderão atender diferentes segmentos da Educação Básica e a Base Nacional Comum Curricular (BNCC).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7"/>
          <w:szCs w:val="27"/>
        </w:rPr>
        <w:t>Perfil do egresso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7"/>
          <w:szCs w:val="27"/>
        </w:rPr>
        <w:t xml:space="preserve">O perfil profissional desejado para os/as egressos/as deste curso de Pós-Graduação lato sensu em Ensino de Ciências "Ciência é 10!" </w:t>
      </w:r>
      <w:proofErr w:type="gramStart"/>
      <w:r w:rsidRPr="004A1A3A">
        <w:rPr>
          <w:rFonts w:ascii="Calibri" w:eastAsia="Times New Roman" w:hAnsi="Calibri" w:cs="Calibri"/>
          <w:color w:val="000000"/>
          <w:sz w:val="27"/>
          <w:szCs w:val="27"/>
        </w:rPr>
        <w:t>está</w:t>
      </w:r>
      <w:proofErr w:type="gramEnd"/>
      <w:r w:rsidRPr="004A1A3A">
        <w:rPr>
          <w:rFonts w:ascii="Calibri" w:eastAsia="Times New Roman" w:hAnsi="Calibri" w:cs="Calibri"/>
          <w:color w:val="000000"/>
          <w:sz w:val="27"/>
          <w:szCs w:val="27"/>
        </w:rPr>
        <w:t> centrado na reflexão do professor-cursista sobre sua prática docente no espaço da escola e da sala de aula:</w:t>
      </w:r>
    </w:p>
    <w:p w:rsidR="004A1A3A" w:rsidRPr="004A1A3A" w:rsidRDefault="004A1A3A" w:rsidP="004A1A3A">
      <w:pPr>
        <w:numPr>
          <w:ilvl w:val="0"/>
          <w:numId w:val="1"/>
        </w:numPr>
        <w:spacing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refletindo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sobre o lugar e o sentido de ensinar ciências na Educação Básica;</w:t>
      </w:r>
    </w:p>
    <w:p w:rsidR="004A1A3A" w:rsidRPr="004A1A3A" w:rsidRDefault="004A1A3A" w:rsidP="004A1A3A">
      <w:pPr>
        <w:numPr>
          <w:ilvl w:val="0"/>
          <w:numId w:val="1"/>
        </w:numPr>
        <w:spacing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reconhecendo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os fundamentos teórico-metodológicos, e</w:t>
      </w:r>
    </w:p>
    <w:p w:rsidR="004A1A3A" w:rsidRPr="004A1A3A" w:rsidRDefault="004A1A3A" w:rsidP="004A1A3A">
      <w:pPr>
        <w:numPr>
          <w:ilvl w:val="0"/>
          <w:numId w:val="1"/>
        </w:numPr>
        <w:spacing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praticando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o processo de constituição do professor-reflexivo e da construção dos saberes docentes em ambiente de troca e compartilhamento com seus pares e com diferentes parceiros da escola e da comunidade.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7"/>
          <w:szCs w:val="27"/>
        </w:rPr>
        <w:t>Duração do curso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7"/>
          <w:szCs w:val="27"/>
        </w:rPr>
        <w:t xml:space="preserve">O curso de Especialização em Ensino de Ciências "Ciências é 10!" </w:t>
      </w:r>
      <w:proofErr w:type="gramStart"/>
      <w:r w:rsidRPr="004A1A3A">
        <w:rPr>
          <w:rFonts w:ascii="Calibri" w:eastAsia="Times New Roman" w:hAnsi="Calibri" w:cs="Calibri"/>
          <w:color w:val="000000"/>
          <w:sz w:val="27"/>
          <w:szCs w:val="27"/>
        </w:rPr>
        <w:t>tem</w:t>
      </w:r>
      <w:proofErr w:type="gramEnd"/>
      <w:r w:rsidRPr="004A1A3A">
        <w:rPr>
          <w:rFonts w:ascii="Calibri" w:eastAsia="Times New Roman" w:hAnsi="Calibri" w:cs="Calibri"/>
          <w:color w:val="000000"/>
          <w:sz w:val="27"/>
          <w:szCs w:val="27"/>
        </w:rPr>
        <w:t xml:space="preserve"> duração de 18 meses, distribuídos em um calendário acadêmico de atividades de estudo, aulas, atividades práticas, avaliações presenciais e defesa de Trabalho Conclusão de Curso (TCC).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7"/>
          <w:szCs w:val="27"/>
        </w:rPr>
        <w:t>Encontros Presenciais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7"/>
          <w:szCs w:val="27"/>
        </w:rPr>
        <w:t>O Curso será ofertado na modalidade a distância, via Ambiente Virtual de Ensino e Aprendizagem, contudo estão programados encontros presenciais e atividades avaliativas presenciais, às sextas-feiras à noite e aos sábados (manhã e tarde), nos polos de EaD listados no Anexo A. 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7"/>
          <w:szCs w:val="27"/>
        </w:rPr>
        <w:t> 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7"/>
          <w:szCs w:val="27"/>
        </w:rPr>
        <w:t>2. ESPECIALIZAÇÃO EM EDUCAÇÃO A DISTÂNCIA NA EDUCAÇÃO PROFISSIONAL E TECNOLÓGICA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Público Alvo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4"/>
          <w:szCs w:val="24"/>
        </w:rPr>
        <w:t>Profissionais portadores de diploma de graduação em qualquer área do conhecimento, obtido em instituições reconhecidas pelo Ministério da Educação (MEC), que atuam ou que pretendem atuar na EPT.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lastRenderedPageBreak/>
        <w:t>Perfil do egresso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4"/>
          <w:szCs w:val="24"/>
        </w:rPr>
        <w:t>Ao final do curso, espera-se formar profissionais da educação com condições para:</w:t>
      </w:r>
    </w:p>
    <w:p w:rsidR="004A1A3A" w:rsidRPr="004A1A3A" w:rsidRDefault="004A1A3A" w:rsidP="004A1A3A">
      <w:pPr>
        <w:numPr>
          <w:ilvl w:val="0"/>
          <w:numId w:val="2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demonstrar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habilidade na utilização de ambientes virtuais de aprendizagem e ferramentas online;</w:t>
      </w:r>
    </w:p>
    <w:p w:rsidR="004A1A3A" w:rsidRPr="004A1A3A" w:rsidRDefault="004A1A3A" w:rsidP="004A1A3A">
      <w:pPr>
        <w:numPr>
          <w:ilvl w:val="0"/>
          <w:numId w:val="2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integrar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eficientemente recursos digitais no desenvolvimento de atividades educativas a distância;</w:t>
      </w:r>
    </w:p>
    <w:p w:rsidR="004A1A3A" w:rsidRPr="004A1A3A" w:rsidRDefault="004A1A3A" w:rsidP="004A1A3A">
      <w:pPr>
        <w:numPr>
          <w:ilvl w:val="0"/>
          <w:numId w:val="2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desenvolver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materiais e recursos pedagógicos adequados à modalidade a distância que possibilitem aos educandos a compreensão crítica da realidade que os cerca e nela intervir;</w:t>
      </w:r>
    </w:p>
    <w:p w:rsidR="004A1A3A" w:rsidRPr="004A1A3A" w:rsidRDefault="004A1A3A" w:rsidP="004A1A3A">
      <w:pPr>
        <w:numPr>
          <w:ilvl w:val="0"/>
          <w:numId w:val="2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contribuir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com o fortalecimento da gestão democrática de políticas, programas e projetos de educação a distância na Educação Profissional e Tecnológica.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Duração do curso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4"/>
          <w:szCs w:val="24"/>
        </w:rPr>
        <w:t>O curso de Especialização em Educação a Distância na Educação Profissional e Tecnológica tem duração de 18 meses, distribuídos em um calendário acadêmico de atividades de estudo, aulas, atividades práticas, avaliações presenciais e defesa de Trabalho Conclusão de Curso (TCC).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Encontros Presenciais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4"/>
          <w:szCs w:val="24"/>
        </w:rPr>
        <w:t>O Curso será ofertado na modalidade a distância, via Ambiente Virtual de Ensino e Aprendizagem, contudo estão programados encontros presenciais e atividades avaliativas presenciais, às sextas-feiras à noite e aos sábados (manhã e tarde), nos polos de EaD listados no Anexo A.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3. GESTÃO DA EDUCAÇÃO PROFISSIONAL E TECNOLÓGICA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Público Alvo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Poderão participar do curso profissionais portadores/as de diploma de graduação em qualquer área do conhecimento, obtido em instituições reconhecidas pelo Ministério da Educação (MEC), preferencialmente aqueles/as que atuam ou que pretendem atuar em espaços e funções de gestão na Educação Profissional e Tecnológica pública, em especial na direção e na </w:t>
      </w:r>
      <w:proofErr w:type="spell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vice-direção</w:t>
      </w:r>
      <w:proofErr w:type="spell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de escola, coordenação pedagógica, orientação educacional e supervisão de ensino, dentre outros.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Perfil do egresso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4"/>
          <w:szCs w:val="24"/>
        </w:rPr>
        <w:t>O perfil profissional desejado para os/as egressos/as deste curso de Pós-Graduação lato sensu em Gestão na Educação Profissional e Tecnológica está centrado no entendimento crítico de como agir, em face das complexas situações do mundo do trabalho, na gestão de instituições, coletivos de trabalho pedagógico e na implementação de políticas públicas concernentes a essa modalidade educacional. Isso pressupõe ter em vista:</w:t>
      </w:r>
    </w:p>
    <w:p w:rsidR="004A1A3A" w:rsidRPr="004A1A3A" w:rsidRDefault="004A1A3A" w:rsidP="004A1A3A">
      <w:pPr>
        <w:numPr>
          <w:ilvl w:val="0"/>
          <w:numId w:val="3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o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conhecimento sobre como investigar o ambiente social, cultural, econômico e político em que se situa a escola; a compreensão das relações de poder, da importância da comunicação interna e externa à escola e do trabalho em equipe;</w:t>
      </w:r>
    </w:p>
    <w:p w:rsidR="004A1A3A" w:rsidRPr="004A1A3A" w:rsidRDefault="004A1A3A" w:rsidP="004A1A3A">
      <w:pPr>
        <w:numPr>
          <w:ilvl w:val="0"/>
          <w:numId w:val="3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o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planejamento dialógico, a (</w:t>
      </w:r>
      <w:proofErr w:type="spell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re</w:t>
      </w:r>
      <w:proofErr w:type="spell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)elaboração de projetos pedagógicos e de planos de ensino, a avaliação institucional e a implementação de ferramentas de gestão e de novos processos de organização do trabalho escolar e pedagógico de forma democrática e participativa;</w:t>
      </w:r>
    </w:p>
    <w:p w:rsidR="004A1A3A" w:rsidRPr="004A1A3A" w:rsidRDefault="004A1A3A" w:rsidP="004A1A3A">
      <w:pPr>
        <w:numPr>
          <w:ilvl w:val="0"/>
          <w:numId w:val="3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a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mobilização da capacidade de diálogo dos coletivos escolares para a elaboração compartilhada de propostas e estratégias destinadas a enfrentar os desafios sociais, educacionais, econômicos e ambientais que surgem, pautadas pelos valores da ética e da emancipação social;</w:t>
      </w:r>
    </w:p>
    <w:p w:rsidR="004A1A3A" w:rsidRPr="004A1A3A" w:rsidRDefault="004A1A3A" w:rsidP="004A1A3A">
      <w:pPr>
        <w:numPr>
          <w:ilvl w:val="0"/>
          <w:numId w:val="3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a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implementação de processos que visem à inclusão social e educacional, à igualdade e ao respeito às diversidades culturais (culturais, étnicas, raciais, geracionais, de gênero, orientação sexual, territoriais, políticas e religiosas e de pessoas com deficiência);</w:t>
      </w:r>
    </w:p>
    <w:p w:rsidR="004A1A3A" w:rsidRPr="004A1A3A" w:rsidRDefault="004A1A3A" w:rsidP="004A1A3A">
      <w:pPr>
        <w:numPr>
          <w:ilvl w:val="0"/>
          <w:numId w:val="3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a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transparência na gestão dos recursos, privilegiando ampla discussão e decisão em relação à sua aplicação;</w:t>
      </w:r>
    </w:p>
    <w:p w:rsidR="004A1A3A" w:rsidRPr="004A1A3A" w:rsidRDefault="004A1A3A" w:rsidP="004A1A3A">
      <w:pPr>
        <w:numPr>
          <w:ilvl w:val="0"/>
          <w:numId w:val="3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a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valorização dos membros da comunidade escolar, dando voz e escuta ativa aos/às estudantes e às suas representações, aos/às docentes, pais, mães ou responsáveis, funcionários/as técnico-administrativos e conselho escolar ou órgãos colegiados;</w:t>
      </w:r>
    </w:p>
    <w:p w:rsidR="004A1A3A" w:rsidRPr="004A1A3A" w:rsidRDefault="004A1A3A" w:rsidP="004A1A3A">
      <w:pPr>
        <w:numPr>
          <w:ilvl w:val="0"/>
          <w:numId w:val="3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o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amplo diálogo com a comu</w:t>
      </w:r>
      <w:bookmarkStart w:id="0" w:name="_GoBack"/>
      <w:bookmarkEnd w:id="0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nidade, com as entidades de representação, com os sistemas de ensino e com o poder público; o comprometimento com os valores e as normas do serviço público, a cultura do controle social, a valorização das relações com os sistemas de ensino, as comunidades e os movimentos sociais, na perspectiva da gestão democrática e participativa;</w:t>
      </w:r>
    </w:p>
    <w:p w:rsidR="004A1A3A" w:rsidRPr="004A1A3A" w:rsidRDefault="004A1A3A" w:rsidP="004A1A3A">
      <w:pPr>
        <w:numPr>
          <w:ilvl w:val="0"/>
          <w:numId w:val="3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a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participação da escola em redes de cooperação comprometidas com a expansão da EPT pública, democrática, inclusiva e emancipatória; a divulgação dos sucessos obtidos pelo coletivo da escola, seus/suas professores/as, estudantes e </w:t>
      </w:r>
      <w:proofErr w:type="spell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técnicoadministrativos</w:t>
      </w:r>
      <w:proofErr w:type="spell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;</w:t>
      </w:r>
    </w:p>
    <w:p w:rsidR="004A1A3A" w:rsidRPr="004A1A3A" w:rsidRDefault="004A1A3A" w:rsidP="004A1A3A">
      <w:pPr>
        <w:numPr>
          <w:ilvl w:val="0"/>
          <w:numId w:val="3"/>
        </w:numPr>
        <w:spacing w:after="165" w:line="240" w:lineRule="auto"/>
        <w:ind w:left="13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>as</w:t>
      </w:r>
      <w:proofErr w:type="gramEnd"/>
      <w:r w:rsidRPr="004A1A3A">
        <w:rPr>
          <w:rFonts w:ascii="Calibri" w:eastAsia="Times New Roman" w:hAnsi="Calibri" w:cs="Calibri"/>
          <w:color w:val="000000"/>
          <w:sz w:val="24"/>
          <w:szCs w:val="24"/>
        </w:rPr>
        <w:t xml:space="preserve"> formas pelas quais a gestão na EPT pode contribuir para atenuar os riscos da evasão e do abandono discentes e encorajar a permanência e o êxito escolares.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Duração do curso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4"/>
          <w:szCs w:val="24"/>
        </w:rPr>
        <w:t>O curso de Especialização em Gestão na Educação Profissional e Tecnológica tem duração de 18 meses, distribuídos em um calendário acadêmico de atividades de estudo, aulas, atividades práticas, avaliações presenciais e defesa de Trabalho Final de Curso (TFC).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Encontros Presenciais</w:t>
      </w:r>
    </w:p>
    <w:p w:rsidR="004A1A3A" w:rsidRPr="004A1A3A" w:rsidRDefault="004A1A3A" w:rsidP="004A1A3A">
      <w:pPr>
        <w:spacing w:after="165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4"/>
          <w:szCs w:val="24"/>
        </w:rPr>
        <w:t>O Curso será ofertado na modalidade a distância, via Ambiente Virtual de Ensino e Aprendizagem, contudo estão programados encontros presenciais e atividades avaliativas presenciais, às sextas-feiras à noite e aos sábados (manhã e tarde), nos polos de EaD listados no Anexo A.</w:t>
      </w:r>
    </w:p>
    <w:p w:rsidR="004A1A3A" w:rsidRPr="004A1A3A" w:rsidRDefault="004A1A3A" w:rsidP="004A1A3A">
      <w:pPr>
        <w:spacing w:before="120" w:after="120" w:line="240" w:lineRule="auto"/>
        <w:ind w:left="60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4A1A3A">
        <w:rPr>
          <w:rFonts w:ascii="Calibri" w:eastAsia="Times New Roman" w:hAnsi="Calibri" w:cs="Calibri"/>
          <w:color w:val="000000"/>
          <w:sz w:val="27"/>
          <w:szCs w:val="27"/>
        </w:rPr>
        <w:t> </w:t>
      </w:r>
    </w:p>
    <w:p w:rsidR="00B0577D" w:rsidRDefault="00B0577D">
      <w:pPr>
        <w:widowControl w:val="0"/>
        <w:spacing w:line="240" w:lineRule="auto"/>
        <w:ind w:left="1133" w:right="854"/>
        <w:jc w:val="center"/>
        <w:rPr>
          <w:rFonts w:ascii="Calibri" w:eastAsia="Calibri" w:hAnsi="Calibri" w:cs="Calibri"/>
          <w:sz w:val="24"/>
          <w:szCs w:val="24"/>
        </w:rPr>
      </w:pPr>
    </w:p>
    <w:p w:rsidR="00B0577D" w:rsidRDefault="00B0577D">
      <w:pPr>
        <w:widowControl w:val="0"/>
        <w:spacing w:line="240" w:lineRule="auto"/>
        <w:ind w:left="1133" w:right="854"/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B0577D" w:rsidRDefault="00B0577D">
      <w:pPr>
        <w:widowControl w:val="0"/>
        <w:rPr>
          <w:rFonts w:ascii="Calibri" w:eastAsia="Calibri" w:hAnsi="Calibri" w:cs="Calibri"/>
          <w:b/>
          <w:sz w:val="24"/>
          <w:szCs w:val="24"/>
        </w:rPr>
      </w:pPr>
    </w:p>
    <w:sectPr w:rsidR="00B0577D" w:rsidSect="002D0662">
      <w:headerReference w:type="default" r:id="rId7"/>
      <w:pgSz w:w="11906" w:h="16838"/>
      <w:pgMar w:top="555" w:right="849" w:bottom="0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F12" w:rsidRDefault="00877F12">
      <w:pPr>
        <w:spacing w:line="240" w:lineRule="auto"/>
      </w:pPr>
      <w:r>
        <w:separator/>
      </w:r>
    </w:p>
  </w:endnote>
  <w:endnote w:type="continuationSeparator" w:id="0">
    <w:p w:rsidR="00877F12" w:rsidRDefault="00877F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F12" w:rsidRDefault="00877F12">
      <w:pPr>
        <w:spacing w:line="240" w:lineRule="auto"/>
      </w:pPr>
      <w:r>
        <w:separator/>
      </w:r>
    </w:p>
  </w:footnote>
  <w:footnote w:type="continuationSeparator" w:id="0">
    <w:p w:rsidR="00877F12" w:rsidRDefault="00877F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877F12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2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877F12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877F12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877F12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877F12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eastAsia="Calibri" w:hAnsi="Calibri" w:cs="Calibri"/>
        <w:sz w:val="24"/>
        <w:szCs w:val="24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A3821"/>
    <w:multiLevelType w:val="multilevel"/>
    <w:tmpl w:val="2A6A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F6198B"/>
    <w:multiLevelType w:val="multilevel"/>
    <w:tmpl w:val="3082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9721E4"/>
    <w:multiLevelType w:val="multilevel"/>
    <w:tmpl w:val="E208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2D0662"/>
    <w:rsid w:val="004706AB"/>
    <w:rsid w:val="004A1A3A"/>
    <w:rsid w:val="00877F12"/>
    <w:rsid w:val="00B0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  <w:style w:type="paragraph" w:customStyle="1" w:styleId="textocentralizado">
    <w:name w:val="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4706AB"/>
    <w:rPr>
      <w:b/>
      <w:bCs/>
    </w:rPr>
  </w:style>
  <w:style w:type="paragraph" w:customStyle="1" w:styleId="textoalinhadoesquerdaespaamentosimples">
    <w:name w:val="texto_alinhado_esquerda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1072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2</cp:revision>
  <dcterms:created xsi:type="dcterms:W3CDTF">2025-02-16T13:02:00Z</dcterms:created>
  <dcterms:modified xsi:type="dcterms:W3CDTF">2025-02-16T13:02:00Z</dcterms:modified>
</cp:coreProperties>
</file>